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A4" w:rsidRPr="002507E5" w:rsidRDefault="00263CA4" w:rsidP="00263CA4">
      <w:pPr>
        <w:rPr>
          <w:sz w:val="20"/>
          <w:szCs w:val="20"/>
        </w:rPr>
      </w:pPr>
      <w:r w:rsidRPr="002507E5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7E5">
        <w:rPr>
          <w:sz w:val="20"/>
          <w:szCs w:val="20"/>
        </w:rPr>
        <w:t xml:space="preserve">    ESOGÜ Karşılaştırmalı Edebiyat Bölümü Ders Bilgi Formu</w:t>
      </w:r>
    </w:p>
    <w:p w:rsidR="00263CA4" w:rsidRPr="002507E5" w:rsidRDefault="00263CA4" w:rsidP="00263CA4">
      <w:pPr>
        <w:rPr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263CA4" w:rsidRPr="002507E5" w:rsidTr="002F7F59">
        <w:tc>
          <w:tcPr>
            <w:tcW w:w="1167" w:type="dxa"/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GÜZ</w:t>
            </w:r>
          </w:p>
        </w:tc>
      </w:tr>
    </w:tbl>
    <w:p w:rsidR="00263CA4" w:rsidRPr="002507E5" w:rsidRDefault="00263CA4" w:rsidP="00263CA4">
      <w:pPr>
        <w:rPr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263CA4" w:rsidRPr="002507E5" w:rsidTr="002F7F59">
        <w:tc>
          <w:tcPr>
            <w:tcW w:w="1668" w:type="dxa"/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proofErr w:type="gramStart"/>
            <w:r w:rsidRPr="002507E5">
              <w:rPr>
                <w:sz w:val="20"/>
                <w:szCs w:val="20"/>
              </w:rPr>
              <w:t>121914331</w:t>
            </w:r>
            <w:proofErr w:type="gramEnd"/>
          </w:p>
        </w:tc>
        <w:tc>
          <w:tcPr>
            <w:tcW w:w="1560" w:type="dxa"/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4185" w:type="dxa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bookmarkStart w:id="0" w:name="PopülerKültür"/>
            <w:r w:rsidRPr="002507E5">
              <w:rPr>
                <w:sz w:val="20"/>
                <w:szCs w:val="20"/>
              </w:rPr>
              <w:t>Popüler Kültür</w:t>
            </w:r>
          </w:p>
          <w:bookmarkEnd w:id="0"/>
          <w:p w:rsidR="00263CA4" w:rsidRPr="002507E5" w:rsidRDefault="00263CA4" w:rsidP="002F7F59">
            <w:pPr>
              <w:rPr>
                <w:sz w:val="20"/>
                <w:szCs w:val="20"/>
              </w:rPr>
            </w:pPr>
          </w:p>
        </w:tc>
      </w:tr>
    </w:tbl>
    <w:p w:rsidR="00263CA4" w:rsidRPr="002507E5" w:rsidRDefault="00263CA4" w:rsidP="00263CA4">
      <w:pPr>
        <w:rPr>
          <w:sz w:val="20"/>
          <w:szCs w:val="20"/>
        </w:rPr>
      </w:pPr>
      <w:r w:rsidRPr="002507E5">
        <w:rPr>
          <w:sz w:val="20"/>
          <w:szCs w:val="20"/>
        </w:rPr>
        <w:t xml:space="preserve">                                                   </w:t>
      </w:r>
      <w:r w:rsidRPr="002507E5">
        <w:rPr>
          <w:sz w:val="20"/>
          <w:szCs w:val="20"/>
        </w:rPr>
        <w:tab/>
      </w:r>
      <w:r w:rsidRPr="002507E5">
        <w:rPr>
          <w:sz w:val="20"/>
          <w:szCs w:val="20"/>
        </w:rPr>
        <w:tab/>
      </w:r>
      <w:r w:rsidRPr="002507E5">
        <w:rPr>
          <w:sz w:val="20"/>
          <w:szCs w:val="20"/>
        </w:rPr>
        <w:tab/>
      </w:r>
      <w:r w:rsidRPr="002507E5">
        <w:rPr>
          <w:sz w:val="20"/>
          <w:szCs w:val="20"/>
        </w:rPr>
        <w:tab/>
      </w:r>
      <w:r w:rsidRPr="002507E5">
        <w:rPr>
          <w:sz w:val="20"/>
          <w:szCs w:val="20"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557"/>
        <w:gridCol w:w="216"/>
        <w:gridCol w:w="1067"/>
        <w:gridCol w:w="748"/>
        <w:gridCol w:w="50"/>
        <w:gridCol w:w="641"/>
        <w:gridCol w:w="829"/>
        <w:gridCol w:w="647"/>
        <w:gridCol w:w="97"/>
        <w:gridCol w:w="2492"/>
        <w:gridCol w:w="1522"/>
      </w:tblGrid>
      <w:tr w:rsidR="00263CA4" w:rsidRPr="002507E5" w:rsidTr="002F7F59">
        <w:trPr>
          <w:trHeight w:val="383"/>
        </w:trPr>
        <w:tc>
          <w:tcPr>
            <w:tcW w:w="5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CA4" w:rsidRDefault="00263CA4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</w:t>
            </w:r>
          </w:p>
          <w:p w:rsidR="00263CA4" w:rsidRDefault="00263CA4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653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CA4" w:rsidRDefault="00263CA4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816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63CA4" w:rsidRDefault="00263CA4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</w:t>
            </w:r>
          </w:p>
        </w:tc>
      </w:tr>
      <w:tr w:rsidR="00263CA4" w:rsidRPr="002507E5" w:rsidTr="002F7F59">
        <w:trPr>
          <w:trHeight w:val="382"/>
        </w:trPr>
        <w:tc>
          <w:tcPr>
            <w:tcW w:w="5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3CA4" w:rsidRDefault="00263CA4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A4" w:rsidRDefault="00263CA4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CA4" w:rsidRDefault="00263CA4" w:rsidP="002F7F5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A4" w:rsidRDefault="00263CA4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A4" w:rsidRDefault="00263CA4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DİLİ</w:t>
            </w:r>
          </w:p>
        </w:tc>
      </w:tr>
      <w:tr w:rsidR="00263CA4" w:rsidRPr="002507E5" w:rsidTr="002F7F59">
        <w:trPr>
          <w:trHeight w:val="367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7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0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  <w:vertAlign w:val="superscript"/>
              </w:rPr>
            </w:pPr>
            <w:r w:rsidRPr="002507E5">
              <w:rPr>
                <w:sz w:val="20"/>
                <w:szCs w:val="20"/>
                <w:vertAlign w:val="superscript"/>
              </w:rPr>
              <w:t>ZORUNLU ( )  SEÇMELİ (X)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63CA4" w:rsidRPr="002507E5" w:rsidRDefault="00263CA4" w:rsidP="002F7F59">
            <w:pPr>
              <w:rPr>
                <w:sz w:val="20"/>
                <w:szCs w:val="20"/>
                <w:vertAlign w:val="superscript"/>
              </w:rPr>
            </w:pPr>
            <w:r w:rsidRPr="002507E5">
              <w:rPr>
                <w:sz w:val="20"/>
                <w:szCs w:val="20"/>
                <w:vertAlign w:val="superscript"/>
              </w:rPr>
              <w:t>Türkçe</w:t>
            </w:r>
          </w:p>
        </w:tc>
      </w:tr>
      <w:tr w:rsidR="00263CA4" w:rsidRPr="002507E5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KATEGORİSİ</w:t>
            </w:r>
          </w:p>
        </w:tc>
      </w:tr>
      <w:tr w:rsidR="00263CA4" w:rsidRPr="002507E5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1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Genel Edebiyat</w:t>
            </w:r>
          </w:p>
        </w:tc>
        <w:tc>
          <w:tcPr>
            <w:tcW w:w="1049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Yabancı Dil</w:t>
            </w:r>
          </w:p>
        </w:tc>
        <w:tc>
          <w:tcPr>
            <w:tcW w:w="2372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Karşılaştırmalı Edebiyat</w:t>
            </w:r>
          </w:p>
        </w:tc>
        <w:tc>
          <w:tcPr>
            <w:tcW w:w="76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Sosyal Bilim</w:t>
            </w:r>
          </w:p>
        </w:tc>
      </w:tr>
      <w:tr w:rsidR="00263CA4" w:rsidRPr="002507E5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1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</w:p>
        </w:tc>
        <w:tc>
          <w:tcPr>
            <w:tcW w:w="2372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proofErr w:type="gramStart"/>
            <w:r w:rsidRPr="002507E5">
              <w:rPr>
                <w:sz w:val="20"/>
                <w:szCs w:val="20"/>
              </w:rPr>
              <w:t>x</w:t>
            </w:r>
            <w:proofErr w:type="gramEnd"/>
          </w:p>
        </w:tc>
      </w:tr>
      <w:tr w:rsidR="00263CA4" w:rsidRPr="002507E5" w:rsidTr="002F7F59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263CA4" w:rsidRPr="002507E5" w:rsidTr="002F7F59">
        <w:tc>
          <w:tcPr>
            <w:tcW w:w="183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CA4" w:rsidRDefault="00263CA4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Faaliyet türü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Sayı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%</w:t>
            </w:r>
          </w:p>
        </w:tc>
      </w:tr>
      <w:tr w:rsidR="00263CA4" w:rsidRPr="002507E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CA4" w:rsidRDefault="00263CA4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I. Ara Sınav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3CA4" w:rsidRPr="002507E5" w:rsidRDefault="00263CA4" w:rsidP="002F7F59">
            <w:pPr>
              <w:rPr>
                <w:sz w:val="20"/>
                <w:szCs w:val="20"/>
                <w:highlight w:val="yellow"/>
              </w:rPr>
            </w:pPr>
            <w:r w:rsidRPr="002507E5">
              <w:rPr>
                <w:sz w:val="20"/>
                <w:szCs w:val="20"/>
              </w:rPr>
              <w:t xml:space="preserve">40 </w:t>
            </w:r>
          </w:p>
        </w:tc>
      </w:tr>
      <w:tr w:rsidR="00263CA4" w:rsidRPr="002507E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CA4" w:rsidRDefault="00263CA4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II. Ara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3CA4" w:rsidRPr="002507E5" w:rsidRDefault="00263CA4" w:rsidP="002F7F59">
            <w:pPr>
              <w:rPr>
                <w:sz w:val="20"/>
                <w:szCs w:val="20"/>
                <w:highlight w:val="yellow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  <w:tr w:rsidR="00263CA4" w:rsidRPr="002507E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CA4" w:rsidRDefault="00263CA4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Kısa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  <w:tr w:rsidR="00263CA4" w:rsidRPr="002507E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CA4" w:rsidRDefault="00263CA4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Ödev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 </w:t>
            </w:r>
          </w:p>
        </w:tc>
      </w:tr>
      <w:tr w:rsidR="00263CA4" w:rsidRPr="002507E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CA4" w:rsidRDefault="00263CA4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Proje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  <w:tr w:rsidR="00263CA4" w:rsidRPr="002507E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CA4" w:rsidRDefault="00263CA4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Rapor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</w:p>
        </w:tc>
      </w:tr>
      <w:tr w:rsidR="00263CA4" w:rsidRPr="002507E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CA4" w:rsidRDefault="00263CA4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Diğer (</w:t>
            </w:r>
            <w:proofErr w:type="gramStart"/>
            <w:r w:rsidRPr="002507E5">
              <w:rPr>
                <w:sz w:val="20"/>
                <w:szCs w:val="20"/>
              </w:rPr>
              <w:t>………</w:t>
            </w:r>
            <w:proofErr w:type="gramEnd"/>
            <w:r w:rsidRPr="002507E5">
              <w:rPr>
                <w:sz w:val="20"/>
                <w:szCs w:val="20"/>
              </w:rPr>
              <w:t>)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</w:p>
        </w:tc>
      </w:tr>
      <w:tr w:rsidR="00263CA4" w:rsidRPr="002507E5" w:rsidTr="002F7F59">
        <w:trPr>
          <w:trHeight w:val="392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CA4" w:rsidRDefault="00263CA4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60 </w:t>
            </w:r>
          </w:p>
        </w:tc>
      </w:tr>
      <w:tr w:rsidR="00263CA4" w:rsidRPr="002507E5" w:rsidTr="002F7F5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CA4" w:rsidRDefault="00263CA4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VARSA ÖNERİLEN ÖNKOŞUL(LAR)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Dersin ön koşulu yoktur.</w:t>
            </w:r>
          </w:p>
        </w:tc>
      </w:tr>
      <w:tr w:rsidR="00263CA4" w:rsidRPr="002507E5" w:rsidTr="002F7F5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CA4" w:rsidRDefault="00263CA4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color w:val="000000"/>
                <w:sz w:val="20"/>
                <w:szCs w:val="20"/>
              </w:rPr>
              <w:t xml:space="preserve"> </w:t>
            </w:r>
            <w:r w:rsidRPr="002507E5">
              <w:rPr>
                <w:sz w:val="20"/>
                <w:szCs w:val="20"/>
              </w:rPr>
              <w:t xml:space="preserve">Popüler Kültür bağlamında, insan doğası, varoluşsal sorunlar irdelenecek ve örnekler ışığında tartışılacaktır. </w:t>
            </w:r>
          </w:p>
        </w:tc>
      </w:tr>
      <w:tr w:rsidR="00263CA4" w:rsidRPr="002507E5" w:rsidTr="002F7F59">
        <w:trPr>
          <w:trHeight w:val="426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CA4" w:rsidRDefault="00263CA4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bCs/>
                <w:color w:val="000000"/>
                <w:sz w:val="20"/>
                <w:szCs w:val="20"/>
              </w:rPr>
              <w:t xml:space="preserve"> Popüler kültürün günlük yaşantı içerisindeki rolü, bilinçli okur ve bilinçli tüketici kavramları, öğrenciye aktarılacaktır.</w:t>
            </w:r>
          </w:p>
        </w:tc>
      </w:tr>
      <w:tr w:rsidR="00263CA4" w:rsidRPr="002507E5" w:rsidTr="002F7F59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CA4" w:rsidRDefault="00263CA4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Bu ders Karşılaştırmalı Edebiyat çalışmaları yapabilmek için ihtiyaç duydukları bilgi ve kültürel arka planı kazandırır.</w:t>
            </w:r>
          </w:p>
        </w:tc>
      </w:tr>
      <w:tr w:rsidR="00263CA4" w:rsidRPr="002507E5" w:rsidTr="002F7F59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CA4" w:rsidRDefault="00263CA4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ÖĞRENİM ÇIKTILARI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proofErr w:type="gramStart"/>
            <w:r w:rsidRPr="002507E5">
              <w:rPr>
                <w:sz w:val="20"/>
                <w:szCs w:val="20"/>
              </w:rPr>
              <w:t xml:space="preserve">Kültür kavramını analiz etmek. Popüler Kültür kavramını analiz etmek. İnsan, kültür, toplum, toplumsal hayat kavramlarını irdelemek. Daha insanca bir toplumsal yaşam anlayışı. </w:t>
            </w:r>
            <w:proofErr w:type="gramEnd"/>
            <w:r w:rsidRPr="002507E5">
              <w:rPr>
                <w:sz w:val="20"/>
                <w:szCs w:val="20"/>
              </w:rPr>
              <w:t>Toplumsal yapı, değişme ve eğitim kavramlarını bütünsel bir bakış açısıyla irdelemek.</w:t>
            </w:r>
          </w:p>
          <w:p w:rsidR="00263CA4" w:rsidRPr="002507E5" w:rsidRDefault="00263CA4" w:rsidP="002F7F59">
            <w:pPr>
              <w:rPr>
                <w:sz w:val="20"/>
                <w:szCs w:val="20"/>
              </w:rPr>
            </w:pPr>
          </w:p>
        </w:tc>
      </w:tr>
      <w:tr w:rsidR="00263CA4" w:rsidRPr="002507E5" w:rsidTr="002F7F5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CA4" w:rsidRDefault="00263CA4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CA4" w:rsidRPr="002507E5" w:rsidRDefault="00263CA4" w:rsidP="002F7F59">
            <w:pPr>
              <w:rPr>
                <w:sz w:val="20"/>
                <w:szCs w:val="20"/>
                <w:u w:val="single"/>
              </w:rPr>
            </w:pPr>
            <w:r w:rsidRPr="002507E5">
              <w:rPr>
                <w:sz w:val="20"/>
                <w:szCs w:val="20"/>
              </w:rPr>
              <w:t xml:space="preserve">İnsanın Varoluş Sanatı, Prof. Dr. Ayhan Aydın, </w:t>
            </w:r>
            <w:proofErr w:type="spellStart"/>
            <w:r w:rsidRPr="002507E5">
              <w:rPr>
                <w:sz w:val="20"/>
                <w:szCs w:val="20"/>
              </w:rPr>
              <w:t>Gendaş</w:t>
            </w:r>
            <w:proofErr w:type="spellEnd"/>
            <w:r w:rsidRPr="002507E5">
              <w:rPr>
                <w:sz w:val="20"/>
                <w:szCs w:val="20"/>
              </w:rPr>
              <w:t xml:space="preserve"> Yayınları İst. 2006. </w:t>
            </w:r>
          </w:p>
          <w:p w:rsidR="00263CA4" w:rsidRPr="002507E5" w:rsidRDefault="00263CA4" w:rsidP="002F7F59">
            <w:pPr>
              <w:rPr>
                <w:sz w:val="20"/>
                <w:szCs w:val="20"/>
              </w:rPr>
            </w:pPr>
          </w:p>
        </w:tc>
      </w:tr>
      <w:tr w:rsidR="00263CA4" w:rsidRPr="002507E5" w:rsidTr="002F7F5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CA4" w:rsidRDefault="00263CA4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proofErr w:type="gramStart"/>
            <w:r w:rsidRPr="002507E5">
              <w:rPr>
                <w:sz w:val="20"/>
                <w:szCs w:val="20"/>
              </w:rPr>
              <w:t>Popüler Kültür, Ahmet OKTAY, Alfa Yayınları.</w:t>
            </w:r>
            <w:proofErr w:type="gramEnd"/>
          </w:p>
          <w:p w:rsidR="00263CA4" w:rsidRPr="002507E5" w:rsidRDefault="00263CA4" w:rsidP="002F7F59">
            <w:pPr>
              <w:rPr>
                <w:color w:val="000000"/>
                <w:sz w:val="20"/>
                <w:szCs w:val="20"/>
              </w:rPr>
            </w:pPr>
          </w:p>
        </w:tc>
      </w:tr>
      <w:tr w:rsidR="00263CA4" w:rsidRPr="002507E5" w:rsidTr="002F7F59">
        <w:trPr>
          <w:trHeight w:val="52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CA4" w:rsidRDefault="00263CA4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DERSTE GEREKLİ ARAÇ VE GEREÇLER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</w:tbl>
    <w:p w:rsidR="00263CA4" w:rsidRPr="002507E5" w:rsidRDefault="00263CA4" w:rsidP="00263CA4">
      <w:pPr>
        <w:rPr>
          <w:sz w:val="20"/>
          <w:szCs w:val="20"/>
        </w:rPr>
        <w:sectPr w:rsidR="00263CA4" w:rsidRPr="002507E5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2"/>
        <w:gridCol w:w="7970"/>
      </w:tblGrid>
      <w:tr w:rsidR="00263CA4" w:rsidRPr="002507E5" w:rsidTr="002F7F5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DERSİN HAFTALIK PLANI</w:t>
            </w:r>
          </w:p>
        </w:tc>
      </w:tr>
      <w:tr w:rsidR="00263CA4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HAFTA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İŞLENEN KONULAR</w:t>
            </w:r>
          </w:p>
        </w:tc>
      </w:tr>
      <w:tr w:rsidR="00263CA4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Popüler kültürün ortaya çıkışı</w:t>
            </w:r>
          </w:p>
        </w:tc>
      </w:tr>
      <w:tr w:rsidR="00263CA4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Popüler kültürün ortaya çıkışı</w:t>
            </w:r>
          </w:p>
        </w:tc>
      </w:tr>
      <w:tr w:rsidR="00263CA4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Popüler kültürün ortaya çıkışı</w:t>
            </w:r>
          </w:p>
        </w:tc>
      </w:tr>
      <w:tr w:rsidR="00263CA4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Türkiye’de popüler kültürle ilgili güncel olgular</w:t>
            </w:r>
          </w:p>
        </w:tc>
      </w:tr>
      <w:tr w:rsidR="00263CA4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Türkiye’de popüler kültürle ilgili güncel olgular</w:t>
            </w:r>
          </w:p>
        </w:tc>
      </w:tr>
      <w:tr w:rsidR="00263CA4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Türkiye’de popüler kültürle ilgili güncel olgular</w:t>
            </w:r>
          </w:p>
        </w:tc>
      </w:tr>
      <w:tr w:rsidR="00263CA4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Ara Sınav</w:t>
            </w:r>
          </w:p>
        </w:tc>
      </w:tr>
      <w:tr w:rsidR="00263CA4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Popüler kültürle ilgili kuramsal yaklaşımlar</w:t>
            </w:r>
          </w:p>
        </w:tc>
      </w:tr>
      <w:tr w:rsidR="00263CA4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Popüler kültürle ilgili kuramsal yaklaşımlar</w:t>
            </w:r>
          </w:p>
        </w:tc>
      </w:tr>
      <w:tr w:rsidR="00263CA4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Popüler kültürle ilgili kuramsal yaklaşımlar</w:t>
            </w:r>
          </w:p>
        </w:tc>
      </w:tr>
      <w:tr w:rsidR="00263CA4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Görsel kültürün popüler kültür üzerindeki etkisi</w:t>
            </w:r>
          </w:p>
        </w:tc>
      </w:tr>
      <w:tr w:rsidR="00263CA4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Görsel kültürün popüler kültür üzerindeki etkisi</w:t>
            </w:r>
          </w:p>
        </w:tc>
      </w:tr>
      <w:tr w:rsidR="00263CA4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Görsel kültürün popüler kültür üzerindeki etkisi</w:t>
            </w:r>
          </w:p>
        </w:tc>
      </w:tr>
      <w:tr w:rsidR="00263CA4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Tekrar</w:t>
            </w:r>
          </w:p>
        </w:tc>
      </w:tr>
      <w:tr w:rsidR="00263CA4" w:rsidRPr="002507E5" w:rsidTr="002F7F59">
        <w:trPr>
          <w:trHeight w:val="322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15,16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Final Sınavı</w:t>
            </w:r>
          </w:p>
        </w:tc>
      </w:tr>
    </w:tbl>
    <w:p w:rsidR="00263CA4" w:rsidRPr="002507E5" w:rsidRDefault="00263CA4" w:rsidP="00263CA4">
      <w:pPr>
        <w:rPr>
          <w:sz w:val="20"/>
          <w:szCs w:val="20"/>
        </w:rPr>
      </w:pPr>
    </w:p>
    <w:p w:rsidR="00263CA4" w:rsidRPr="002507E5" w:rsidRDefault="00263CA4" w:rsidP="00263CA4">
      <w:pPr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263CA4" w:rsidRPr="002507E5" w:rsidTr="002F7F59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Default="00263CA4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CA4" w:rsidRDefault="00263CA4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 ÇIKTISI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</w:t>
            </w:r>
          </w:p>
        </w:tc>
      </w:tr>
      <w:tr w:rsidR="00263CA4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Karşılaştırmalı edebiyat bilimi ile ilgili yeterli bilgi birikimi; bu alandaki kuramsal ve uygulamalı bilgileri edinme.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proofErr w:type="gramStart"/>
            <w:r w:rsidRPr="002507E5">
              <w:rPr>
                <w:sz w:val="20"/>
                <w:szCs w:val="20"/>
              </w:rPr>
              <w:t>x</w:t>
            </w:r>
            <w:proofErr w:type="gramEnd"/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</w:p>
        </w:tc>
      </w:tr>
      <w:tr w:rsidR="00263CA4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Türkçe sözlü ve yazılı etkin iletişim kurma becerileri ve yabancı dil bilgisini kullanma/geliştirme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  <w:proofErr w:type="gramStart"/>
            <w:r w:rsidRPr="002507E5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</w:p>
        </w:tc>
      </w:tr>
      <w:tr w:rsidR="00263CA4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proofErr w:type="gramStart"/>
            <w:r w:rsidRPr="002507E5">
              <w:rPr>
                <w:sz w:val="20"/>
                <w:szCs w:val="20"/>
              </w:rPr>
              <w:t>Mesleki ve etik sorumluluk bilinci.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proofErr w:type="gramStart"/>
            <w:r w:rsidRPr="002507E5">
              <w:rPr>
                <w:sz w:val="20"/>
                <w:szCs w:val="20"/>
              </w:rPr>
              <w:t>x</w:t>
            </w:r>
            <w:proofErr w:type="gramEnd"/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  <w:tr w:rsidR="00263CA4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Alana yönelik bilgilerin ediniminde </w:t>
            </w:r>
            <w:proofErr w:type="spellStart"/>
            <w:r w:rsidRPr="002507E5">
              <w:rPr>
                <w:sz w:val="20"/>
                <w:szCs w:val="20"/>
              </w:rPr>
              <w:t>datashow</w:t>
            </w:r>
            <w:proofErr w:type="spellEnd"/>
            <w:r w:rsidRPr="002507E5">
              <w:rPr>
                <w:sz w:val="20"/>
                <w:szCs w:val="20"/>
              </w:rPr>
              <w:t xml:space="preserve"> ve </w:t>
            </w:r>
            <w:proofErr w:type="gramStart"/>
            <w:r w:rsidRPr="002507E5">
              <w:rPr>
                <w:sz w:val="20"/>
                <w:szCs w:val="20"/>
              </w:rPr>
              <w:t>workshopların</w:t>
            </w:r>
            <w:proofErr w:type="gramEnd"/>
            <w:r w:rsidRPr="002507E5">
              <w:rPr>
                <w:sz w:val="20"/>
                <w:szCs w:val="20"/>
              </w:rPr>
              <w:t xml:space="preserve"> uygulanması.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  <w:proofErr w:type="gramStart"/>
            <w:r w:rsidRPr="002507E5">
              <w:rPr>
                <w:sz w:val="20"/>
                <w:szCs w:val="20"/>
              </w:rPr>
              <w:t>x</w:t>
            </w:r>
            <w:proofErr w:type="gramEnd"/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  <w:tr w:rsidR="00263CA4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Alana ait kaynaklara ulaşılmasında yabancı dil etkinliğinin arttırılması.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proofErr w:type="gramStart"/>
            <w:r w:rsidRPr="002507E5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  <w:tr w:rsidR="00263CA4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bCs/>
                <w:color w:val="000000"/>
                <w:sz w:val="20"/>
                <w:szCs w:val="20"/>
              </w:rPr>
              <w:t>Bireysel çalışma, d</w:t>
            </w:r>
            <w:r w:rsidRPr="002507E5">
              <w:rPr>
                <w:color w:val="000000"/>
                <w:sz w:val="20"/>
                <w:szCs w:val="20"/>
              </w:rPr>
              <w:t>isiplin içi ve disiplinler arası takım çalışması yapabilme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proofErr w:type="gramStart"/>
            <w:r w:rsidRPr="002507E5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  <w:tr w:rsidR="00263CA4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Farklı uluslara ait edebi metinlerin incelenmesi ve bu metinlerden hareketle farklı kültürlerin tanınması ve </w:t>
            </w:r>
            <w:proofErr w:type="spellStart"/>
            <w:r w:rsidRPr="002507E5">
              <w:rPr>
                <w:sz w:val="20"/>
                <w:szCs w:val="20"/>
              </w:rPr>
              <w:t>kültürlerarasılık</w:t>
            </w:r>
            <w:proofErr w:type="spellEnd"/>
            <w:r w:rsidRPr="002507E5">
              <w:rPr>
                <w:sz w:val="20"/>
                <w:szCs w:val="20"/>
              </w:rPr>
              <w:t xml:space="preserve"> kavramının işlenmesi.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proofErr w:type="gramStart"/>
            <w:r w:rsidRPr="002507E5">
              <w:rPr>
                <w:sz w:val="20"/>
                <w:szCs w:val="20"/>
              </w:rPr>
              <w:t>x</w:t>
            </w:r>
            <w:proofErr w:type="gramEnd"/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  <w:tr w:rsidR="00263CA4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Türk ve dünya edebiyatına yönelik </w:t>
            </w:r>
            <w:proofErr w:type="spellStart"/>
            <w:r w:rsidRPr="002507E5">
              <w:rPr>
                <w:sz w:val="20"/>
                <w:szCs w:val="20"/>
              </w:rPr>
              <w:t>dökümanların</w:t>
            </w:r>
            <w:proofErr w:type="spellEnd"/>
            <w:r w:rsidRPr="002507E5">
              <w:rPr>
                <w:sz w:val="20"/>
                <w:szCs w:val="20"/>
              </w:rPr>
              <w:t xml:space="preserve"> takibinin sağlanması.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proofErr w:type="gramStart"/>
            <w:r w:rsidRPr="002507E5">
              <w:rPr>
                <w:sz w:val="20"/>
                <w:szCs w:val="20"/>
              </w:rPr>
              <w:t>x</w:t>
            </w:r>
            <w:proofErr w:type="gramEnd"/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</w:p>
        </w:tc>
      </w:tr>
      <w:tr w:rsidR="00263CA4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Türk ve dünya edebiyatlarına ait edebi eserlerin karşılaştırmalı olarak incelenmesini sağlamak.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proofErr w:type="gramStart"/>
            <w:r w:rsidRPr="002507E5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</w:p>
        </w:tc>
      </w:tr>
      <w:tr w:rsidR="00263CA4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Karşılaştırmalı edebiyat bilimi ve yan disiplinler ile ilgili bilgi edinimi.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proofErr w:type="gramStart"/>
            <w:r w:rsidRPr="002507E5">
              <w:rPr>
                <w:sz w:val="20"/>
                <w:szCs w:val="20"/>
              </w:rPr>
              <w:t>x</w:t>
            </w:r>
            <w:proofErr w:type="gramEnd"/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  <w:tr w:rsidR="00263CA4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Eleştirel bakış açısının kazandırılması.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  <w:proofErr w:type="gramStart"/>
            <w:r w:rsidRPr="002507E5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  <w:tr w:rsidR="00263CA4" w:rsidRPr="002507E5" w:rsidTr="002F7F59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CA4" w:rsidRPr="002507E5" w:rsidRDefault="00263CA4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263CA4" w:rsidRPr="002507E5" w:rsidRDefault="00263CA4" w:rsidP="00263CA4">
      <w:pPr>
        <w:rPr>
          <w:sz w:val="20"/>
          <w:szCs w:val="20"/>
        </w:rPr>
      </w:pPr>
    </w:p>
    <w:p w:rsidR="00263CA4" w:rsidRPr="002507E5" w:rsidRDefault="00263CA4" w:rsidP="00263CA4">
      <w:pPr>
        <w:rPr>
          <w:sz w:val="20"/>
          <w:szCs w:val="20"/>
        </w:rPr>
      </w:pPr>
      <w:r w:rsidRPr="002507E5">
        <w:rPr>
          <w:sz w:val="20"/>
          <w:szCs w:val="20"/>
        </w:rPr>
        <w:t xml:space="preserve">Dersin Öğretim Üyesi:  </w:t>
      </w:r>
      <w:proofErr w:type="spellStart"/>
      <w:r w:rsidRPr="002507E5">
        <w:rPr>
          <w:sz w:val="20"/>
          <w:szCs w:val="20"/>
        </w:rPr>
        <w:t>Dr.</w:t>
      </w:r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Üy.</w:t>
      </w:r>
      <w:bookmarkStart w:id="1" w:name="_GoBack"/>
      <w:bookmarkEnd w:id="1"/>
      <w:r w:rsidRPr="002507E5">
        <w:rPr>
          <w:sz w:val="20"/>
          <w:szCs w:val="20"/>
        </w:rPr>
        <w:t xml:space="preserve"> Engin BÖLÜKMEŞE </w:t>
      </w:r>
    </w:p>
    <w:p w:rsidR="00263CA4" w:rsidRPr="002507E5" w:rsidRDefault="00263CA4" w:rsidP="00263CA4">
      <w:pPr>
        <w:rPr>
          <w:sz w:val="20"/>
          <w:szCs w:val="20"/>
        </w:rPr>
      </w:pPr>
      <w:r w:rsidRPr="002507E5">
        <w:rPr>
          <w:sz w:val="20"/>
          <w:szCs w:val="20"/>
        </w:rPr>
        <w:t xml:space="preserve">İmza: </w:t>
      </w:r>
      <w:r w:rsidRPr="002507E5">
        <w:rPr>
          <w:sz w:val="20"/>
          <w:szCs w:val="20"/>
        </w:rPr>
        <w:tab/>
        <w:t xml:space="preserve"> </w:t>
      </w:r>
      <w:r w:rsidRPr="002507E5">
        <w:rPr>
          <w:sz w:val="20"/>
          <w:szCs w:val="20"/>
        </w:rPr>
        <w:tab/>
      </w:r>
      <w:r w:rsidRPr="002507E5">
        <w:rPr>
          <w:sz w:val="20"/>
          <w:szCs w:val="20"/>
        </w:rPr>
        <w:tab/>
      </w:r>
      <w:r w:rsidRPr="002507E5">
        <w:rPr>
          <w:sz w:val="20"/>
          <w:szCs w:val="20"/>
        </w:rPr>
        <w:tab/>
      </w:r>
      <w:r w:rsidRPr="002507E5">
        <w:rPr>
          <w:sz w:val="20"/>
          <w:szCs w:val="20"/>
        </w:rPr>
        <w:tab/>
      </w:r>
      <w:r w:rsidRPr="002507E5">
        <w:rPr>
          <w:sz w:val="20"/>
          <w:szCs w:val="20"/>
        </w:rPr>
        <w:tab/>
      </w:r>
      <w:r w:rsidRPr="002507E5">
        <w:rPr>
          <w:sz w:val="20"/>
          <w:szCs w:val="20"/>
        </w:rPr>
        <w:tab/>
      </w:r>
      <w:r w:rsidRPr="002507E5">
        <w:rPr>
          <w:sz w:val="20"/>
          <w:szCs w:val="20"/>
        </w:rPr>
        <w:tab/>
      </w:r>
      <w:r w:rsidRPr="002507E5">
        <w:rPr>
          <w:sz w:val="20"/>
          <w:szCs w:val="20"/>
        </w:rPr>
        <w:tab/>
        <w:t xml:space="preserve">Tarih: </w:t>
      </w:r>
    </w:p>
    <w:p w:rsidR="000E67A7" w:rsidRDefault="000E67A7"/>
    <w:sectPr w:rsidR="000E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57"/>
    <w:rsid w:val="000E67A7"/>
    <w:rsid w:val="00263CA4"/>
    <w:rsid w:val="0026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86C45-8A94-4568-9B3C-F86E5E1B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Lidar</dc:creator>
  <cp:keywords/>
  <dc:description/>
  <cp:lastModifiedBy>Veysel Lidar</cp:lastModifiedBy>
  <cp:revision>2</cp:revision>
  <dcterms:created xsi:type="dcterms:W3CDTF">2018-07-16T07:34:00Z</dcterms:created>
  <dcterms:modified xsi:type="dcterms:W3CDTF">2018-07-16T07:34:00Z</dcterms:modified>
</cp:coreProperties>
</file>